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F" w:rsidRPr="00AA55F8" w:rsidRDefault="00462D0F" w:rsidP="00462D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TOPOLOGIA</w:t>
      </w:r>
    </w:p>
    <w:p w:rsidR="00462D0F" w:rsidRDefault="00462D0F" w:rsidP="00462D0F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PRÉ-REQUISITOS</w:t>
      </w: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: Análise Real.</w:t>
      </w:r>
    </w:p>
    <w:p w:rsidR="00462D0F" w:rsidRPr="00AA55F8" w:rsidRDefault="00462D0F" w:rsidP="00462D0F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55F8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º</w:t>
      </w:r>
      <w:r w:rsidRPr="00AA55F8">
        <w:rPr>
          <w:rFonts w:ascii="Arial" w:hAnsi="Arial" w:cs="Arial"/>
          <w:b/>
          <w:bCs/>
          <w:sz w:val="24"/>
          <w:szCs w:val="24"/>
        </w:rPr>
        <w:t xml:space="preserve"> DE HORAS/AULA SEMANAIS</w:t>
      </w:r>
      <w:r w:rsidRPr="00AA55F8">
        <w:rPr>
          <w:rFonts w:ascii="Arial" w:eastAsia="TimesNewRomanPSMT" w:hAnsi="Arial" w:cs="Arial"/>
          <w:sz w:val="24"/>
          <w:szCs w:val="24"/>
        </w:rPr>
        <w:t>: 06</w:t>
      </w:r>
    </w:p>
    <w:p w:rsidR="00462D0F" w:rsidRDefault="00462D0F" w:rsidP="00462D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napToGrid w:val="0"/>
          <w:color w:val="000000"/>
        </w:rPr>
      </w:pPr>
    </w:p>
    <w:p w:rsidR="00462D0F" w:rsidRPr="00AA55F8" w:rsidRDefault="00462D0F" w:rsidP="00462D0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A55F8">
        <w:rPr>
          <w:rFonts w:ascii="Arial" w:hAnsi="Arial" w:cs="Arial"/>
          <w:b/>
          <w:snapToGrid w:val="0"/>
          <w:color w:val="000000"/>
        </w:rPr>
        <w:t xml:space="preserve">EMENTA </w:t>
      </w:r>
      <w:r w:rsidRPr="00AA55F8">
        <w:rPr>
          <w:rFonts w:ascii="Arial" w:hAnsi="Arial" w:cs="Arial"/>
          <w:snapToGrid w:val="0"/>
          <w:color w:val="000000"/>
        </w:rPr>
        <w:t xml:space="preserve">– Revisão de espaços métricos. </w:t>
      </w:r>
      <w:r w:rsidRPr="00AA55F8">
        <w:rPr>
          <w:rFonts w:ascii="Arial" w:hAnsi="Arial" w:cs="Arial"/>
        </w:rPr>
        <w:t xml:space="preserve">Espaços topológicos. Funções contínuas. Base e sub-base de uma topologia. Redes. Espaço produto e quociente. Conexidade. Compacidade. Lema de </w:t>
      </w:r>
      <w:proofErr w:type="spellStart"/>
      <w:r w:rsidRPr="00AA55F8">
        <w:rPr>
          <w:rFonts w:ascii="Arial" w:hAnsi="Arial" w:cs="Arial"/>
        </w:rPr>
        <w:t>Urysohn</w:t>
      </w:r>
      <w:proofErr w:type="spellEnd"/>
      <w:r w:rsidRPr="00AA55F8">
        <w:rPr>
          <w:rFonts w:ascii="Arial" w:hAnsi="Arial" w:cs="Arial"/>
        </w:rPr>
        <w:t xml:space="preserve">. Teoremas de </w:t>
      </w:r>
      <w:proofErr w:type="spellStart"/>
      <w:r w:rsidRPr="00AA55F8">
        <w:rPr>
          <w:rFonts w:ascii="Arial" w:hAnsi="Arial" w:cs="Arial"/>
        </w:rPr>
        <w:t>Tietze</w:t>
      </w:r>
      <w:proofErr w:type="spellEnd"/>
      <w:r w:rsidRPr="00AA55F8">
        <w:rPr>
          <w:rFonts w:ascii="Arial" w:hAnsi="Arial" w:cs="Arial"/>
        </w:rPr>
        <w:t xml:space="preserve">, </w:t>
      </w:r>
      <w:proofErr w:type="spellStart"/>
      <w:r w:rsidRPr="00AA55F8">
        <w:rPr>
          <w:rFonts w:ascii="Arial" w:hAnsi="Arial" w:cs="Arial"/>
        </w:rPr>
        <w:t>Tychonov</w:t>
      </w:r>
      <w:proofErr w:type="spellEnd"/>
      <w:r w:rsidRPr="00AA55F8">
        <w:rPr>
          <w:rFonts w:ascii="Arial" w:hAnsi="Arial" w:cs="Arial"/>
        </w:rPr>
        <w:t xml:space="preserve"> e </w:t>
      </w:r>
      <w:proofErr w:type="spellStart"/>
      <w:r w:rsidRPr="00AA55F8">
        <w:rPr>
          <w:rFonts w:ascii="Arial" w:hAnsi="Arial" w:cs="Arial"/>
        </w:rPr>
        <w:t>Arzela-Ascoli</w:t>
      </w:r>
      <w:proofErr w:type="spellEnd"/>
      <w:r w:rsidRPr="00AA55F8">
        <w:rPr>
          <w:rFonts w:ascii="Arial" w:hAnsi="Arial" w:cs="Arial"/>
        </w:rPr>
        <w:t>.</w:t>
      </w:r>
    </w:p>
    <w:p w:rsidR="00462D0F" w:rsidRDefault="00462D0F" w:rsidP="00462D0F">
      <w:pPr>
        <w:tabs>
          <w:tab w:val="left" w:pos="1200"/>
        </w:tabs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</w:p>
    <w:p w:rsidR="00462D0F" w:rsidRPr="00AA55F8" w:rsidRDefault="00462D0F" w:rsidP="00462D0F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OBJETIVO: </w:t>
      </w: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Introduzir ao aluno as ferramentas necessárias para o bom entendimento das disciplinas de todos os ramos da análise e áreas afins.</w:t>
      </w:r>
    </w:p>
    <w:p w:rsidR="00462D0F" w:rsidRDefault="00462D0F" w:rsidP="00462D0F">
      <w:pPr>
        <w:jc w:val="both"/>
        <w:rPr>
          <w:rFonts w:ascii="Arial" w:hAnsi="Arial" w:cs="Arial"/>
          <w:b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PROGRAMA DETALHADO:</w:t>
      </w:r>
    </w:p>
    <w:p w:rsidR="00462D0F" w:rsidRPr="00AA55F8" w:rsidRDefault="00462D0F" w:rsidP="00462D0F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Este programa esta baseado no livro texto (abaixo indicado por LT), no material suplementar disponível em seu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companion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 site (</w:t>
      </w:r>
      <w:hyperlink r:id="rId6" w:history="1">
        <w:r w:rsidRPr="00AA55F8">
          <w:rPr>
            <w:rStyle w:val="Hyperlink"/>
            <w:rFonts w:ascii="Arial" w:hAnsi="Arial" w:cs="Arial"/>
            <w:snapToGrid w:val="0"/>
            <w:sz w:val="24"/>
            <w:szCs w:val="24"/>
          </w:rPr>
          <w:t>http://www.oup.com/uk/companion/metric</w:t>
        </w:r>
      </w:hyperlink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) (abaixo indicado por CS) e no livro texto </w:t>
      </w:r>
      <w:proofErr w:type="gram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2</w:t>
      </w:r>
      <w:proofErr w:type="gramEnd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 (abaixo indicado por LT2).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I. Revisão de Espaços Métricos. </w:t>
      </w: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LT, Capítulo 5 (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Metric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spaces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), seções:</w:t>
      </w:r>
    </w:p>
    <w:p w:rsidR="00462D0F" w:rsidRPr="00AA55F8" w:rsidRDefault="00462D0F" w:rsidP="00462D0F">
      <w:pPr>
        <w:numPr>
          <w:ilvl w:val="0"/>
          <w:numId w:val="2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Motivação e definição</w:t>
      </w:r>
    </w:p>
    <w:p w:rsidR="00462D0F" w:rsidRPr="00AA55F8" w:rsidRDefault="00462D0F" w:rsidP="00462D0F">
      <w:pPr>
        <w:numPr>
          <w:ilvl w:val="0"/>
          <w:numId w:val="2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Exemplos de espaços métricos</w:t>
      </w:r>
    </w:p>
    <w:p w:rsidR="00462D0F" w:rsidRPr="00AA55F8" w:rsidRDefault="00462D0F" w:rsidP="00462D0F">
      <w:pPr>
        <w:numPr>
          <w:ilvl w:val="0"/>
          <w:numId w:val="2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Resultados sobre funções contínuas em espaços métricos</w:t>
      </w:r>
    </w:p>
    <w:p w:rsidR="00462D0F" w:rsidRPr="00AA55F8" w:rsidRDefault="00462D0F" w:rsidP="00462D0F">
      <w:pPr>
        <w:numPr>
          <w:ilvl w:val="0"/>
          <w:numId w:val="2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Conjuntos limitados em espaços métricos</w:t>
      </w:r>
    </w:p>
    <w:p w:rsidR="00462D0F" w:rsidRPr="00AA55F8" w:rsidRDefault="00462D0F" w:rsidP="00462D0F">
      <w:pPr>
        <w:numPr>
          <w:ilvl w:val="0"/>
          <w:numId w:val="2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Bolas abertas em espaços métricos</w:t>
      </w:r>
    </w:p>
    <w:p w:rsidR="00462D0F" w:rsidRPr="00AA55F8" w:rsidRDefault="00462D0F" w:rsidP="00462D0F">
      <w:pPr>
        <w:numPr>
          <w:ilvl w:val="0"/>
          <w:numId w:val="2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Conjuntos abertos em espaços métricos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LT, Capítulo 6 (More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concepts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in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metric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spaces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), seções:</w:t>
      </w:r>
    </w:p>
    <w:p w:rsidR="00462D0F" w:rsidRPr="00AA55F8" w:rsidRDefault="00462D0F" w:rsidP="00462D0F">
      <w:pPr>
        <w:numPr>
          <w:ilvl w:val="0"/>
          <w:numId w:val="3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Convergência em espaços métricos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CS, Material suplementar C2, tópicos:</w:t>
      </w:r>
    </w:p>
    <w:p w:rsidR="00462D0F" w:rsidRPr="00AA55F8" w:rsidRDefault="00462D0F" w:rsidP="00462D0F">
      <w:pPr>
        <w:numPr>
          <w:ilvl w:val="0"/>
          <w:numId w:val="3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Completamento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 de espaços métricos via sequências de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Cauchy</w:t>
      </w:r>
      <w:proofErr w:type="spellEnd"/>
    </w:p>
    <w:p w:rsidR="00462D0F" w:rsidRPr="00AA55F8" w:rsidRDefault="00462D0F" w:rsidP="00462D0F">
      <w:pPr>
        <w:numPr>
          <w:ilvl w:val="0"/>
          <w:numId w:val="3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Unicidade do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completamento</w:t>
      </w:r>
      <w:proofErr w:type="spellEnd"/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II. Espaços Topológicos.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LT, Capítulo 7 (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topological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spaces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), seções:</w:t>
      </w:r>
    </w:p>
    <w:p w:rsidR="00462D0F" w:rsidRPr="00AA55F8" w:rsidRDefault="00462D0F" w:rsidP="00462D0F">
      <w:pPr>
        <w:numPr>
          <w:ilvl w:val="0"/>
          <w:numId w:val="4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Definição</w:t>
      </w:r>
    </w:p>
    <w:p w:rsidR="00462D0F" w:rsidRPr="00AA55F8" w:rsidRDefault="00462D0F" w:rsidP="00462D0F">
      <w:pPr>
        <w:numPr>
          <w:ilvl w:val="0"/>
          <w:numId w:val="4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Exemplos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LT, Capítulo 8 (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Continuity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in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topological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spaces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, bases), seções:</w:t>
      </w:r>
    </w:p>
    <w:p w:rsidR="00462D0F" w:rsidRPr="00AA55F8" w:rsidRDefault="00462D0F" w:rsidP="00462D0F">
      <w:pPr>
        <w:numPr>
          <w:ilvl w:val="0"/>
          <w:numId w:val="5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Definição</w:t>
      </w:r>
    </w:p>
    <w:p w:rsidR="00462D0F" w:rsidRPr="00AA55F8" w:rsidRDefault="00462D0F" w:rsidP="00462D0F">
      <w:pPr>
        <w:numPr>
          <w:ilvl w:val="0"/>
          <w:numId w:val="5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Homeomorfismos</w:t>
      </w:r>
    </w:p>
    <w:p w:rsidR="00462D0F" w:rsidRPr="00AA55F8" w:rsidRDefault="00462D0F" w:rsidP="00462D0F">
      <w:pPr>
        <w:numPr>
          <w:ilvl w:val="0"/>
          <w:numId w:val="5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Bases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CS, Material suplementar ao capítulo 8 (S8), tópicos: </w:t>
      </w:r>
    </w:p>
    <w:p w:rsidR="00462D0F" w:rsidRPr="00AA55F8" w:rsidRDefault="00462D0F" w:rsidP="00462D0F">
      <w:pPr>
        <w:numPr>
          <w:ilvl w:val="0"/>
          <w:numId w:val="6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Bases e </w:t>
      </w:r>
      <w:proofErr w:type="spellStart"/>
      <w:proofErr w:type="gram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proto-bases</w:t>
      </w:r>
      <w:proofErr w:type="spellEnd"/>
      <w:proofErr w:type="gramEnd"/>
    </w:p>
    <w:p w:rsidR="00462D0F" w:rsidRPr="00AA55F8" w:rsidRDefault="00462D0F" w:rsidP="00462D0F">
      <w:pPr>
        <w:numPr>
          <w:ilvl w:val="0"/>
          <w:numId w:val="6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Sub-bases</w:t>
      </w:r>
    </w:p>
    <w:p w:rsidR="00462D0F" w:rsidRPr="00AA55F8" w:rsidRDefault="00462D0F" w:rsidP="00462D0F">
      <w:pPr>
        <w:numPr>
          <w:ilvl w:val="0"/>
          <w:numId w:val="6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Espaços separáveis são segundo enumeráveis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LT,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Capítulo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 9 (Some concepts in topological spaces)</w:t>
      </w:r>
    </w:p>
    <w:p w:rsidR="00462D0F" w:rsidRPr="00AA55F8" w:rsidRDefault="00462D0F" w:rsidP="00462D0F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Todas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as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seções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.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LT,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Capítulo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 10 (Subspaces and product topology)</w:t>
      </w:r>
    </w:p>
    <w:p w:rsidR="00462D0F" w:rsidRPr="00AA55F8" w:rsidRDefault="00462D0F" w:rsidP="00462D0F">
      <w:pPr>
        <w:numPr>
          <w:ilvl w:val="0"/>
          <w:numId w:val="7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Subespaços</w:t>
      </w:r>
      <w:proofErr w:type="spellEnd"/>
    </w:p>
    <w:p w:rsidR="00462D0F" w:rsidRPr="00AA55F8" w:rsidRDefault="00462D0F" w:rsidP="00462D0F">
      <w:pPr>
        <w:numPr>
          <w:ilvl w:val="0"/>
          <w:numId w:val="7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Produtos</w:t>
      </w:r>
      <w:proofErr w:type="spellEnd"/>
    </w:p>
    <w:p w:rsidR="00462D0F" w:rsidRPr="00AA55F8" w:rsidRDefault="00462D0F" w:rsidP="00462D0F">
      <w:pPr>
        <w:numPr>
          <w:ilvl w:val="0"/>
          <w:numId w:val="7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Gráficos</w:t>
      </w:r>
      <w:proofErr w:type="spellEnd"/>
    </w:p>
    <w:p w:rsidR="00462D0F" w:rsidRPr="00AA55F8" w:rsidRDefault="00462D0F" w:rsidP="00462D0F">
      <w:pPr>
        <w:numPr>
          <w:ilvl w:val="0"/>
          <w:numId w:val="7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Postscript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sobre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produtos</w:t>
      </w:r>
      <w:proofErr w:type="spellEnd"/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CS, Material suplementar ao capítulo 10 (S10), tópicos: </w:t>
      </w:r>
    </w:p>
    <w:p w:rsidR="00462D0F" w:rsidRPr="00AA55F8" w:rsidRDefault="00462D0F" w:rsidP="00462D0F">
      <w:pPr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Inevitabilidade da topologia produto</w:t>
      </w:r>
    </w:p>
    <w:p w:rsidR="00462D0F" w:rsidRPr="00AA55F8" w:rsidRDefault="00462D0F" w:rsidP="00462D0F">
      <w:pPr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Topologias produto e fraca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LT,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Capítulo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 11 (The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Hausdorff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 condition)</w:t>
      </w:r>
    </w:p>
    <w:p w:rsidR="00462D0F" w:rsidRPr="00AA55F8" w:rsidRDefault="00462D0F" w:rsidP="00462D0F">
      <w:pPr>
        <w:numPr>
          <w:ilvl w:val="0"/>
          <w:numId w:val="9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Motivação</w:t>
      </w:r>
      <w:proofErr w:type="spellEnd"/>
    </w:p>
    <w:p w:rsidR="00462D0F" w:rsidRPr="00AA55F8" w:rsidRDefault="00462D0F" w:rsidP="00462D0F">
      <w:pPr>
        <w:numPr>
          <w:ilvl w:val="0"/>
          <w:numId w:val="9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Condições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de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separação</w:t>
      </w:r>
      <w:proofErr w:type="spellEnd"/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CS, Material suplementar ao capítulo 11 (S11), tópicos: </w:t>
      </w:r>
    </w:p>
    <w:p w:rsidR="00462D0F" w:rsidRPr="00AA55F8" w:rsidRDefault="00462D0F" w:rsidP="00462D0F">
      <w:pPr>
        <w:numPr>
          <w:ilvl w:val="0"/>
          <w:numId w:val="10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Condições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sub-Hausdorff</w:t>
      </w:r>
      <w:proofErr w:type="spellEnd"/>
    </w:p>
    <w:p w:rsidR="00462D0F" w:rsidRPr="00AA55F8" w:rsidRDefault="00462D0F" w:rsidP="00462D0F">
      <w:pPr>
        <w:numPr>
          <w:ilvl w:val="0"/>
          <w:numId w:val="10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Lemma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 de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Urysohn</w:t>
      </w:r>
      <w:proofErr w:type="spellEnd"/>
    </w:p>
    <w:p w:rsidR="00462D0F" w:rsidRPr="00AA55F8" w:rsidRDefault="00462D0F" w:rsidP="00462D0F">
      <w:pPr>
        <w:numPr>
          <w:ilvl w:val="0"/>
          <w:numId w:val="10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Teorema de Extensão de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Tietze</w:t>
      </w:r>
      <w:proofErr w:type="spellEnd"/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LT2,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Capítulo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 2 </w:t>
      </w:r>
    </w:p>
    <w:p w:rsidR="00462D0F" w:rsidRPr="00AA55F8" w:rsidRDefault="00462D0F" w:rsidP="00462D0F">
      <w:pPr>
        <w:numPr>
          <w:ilvl w:val="0"/>
          <w:numId w:val="12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Conjuntos dirigidos e redes (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Directed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 set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and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 Nets)</w:t>
      </w:r>
    </w:p>
    <w:p w:rsidR="00462D0F" w:rsidRPr="00AA55F8" w:rsidRDefault="00462D0F" w:rsidP="00462D0F">
      <w:pPr>
        <w:numPr>
          <w:ilvl w:val="0"/>
          <w:numId w:val="12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Sub redes</w:t>
      </w:r>
      <w:proofErr w:type="gramEnd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 e pontos de acumulação</w:t>
      </w:r>
    </w:p>
    <w:p w:rsidR="00462D0F" w:rsidRPr="00AA55F8" w:rsidRDefault="00462D0F" w:rsidP="00462D0F">
      <w:pPr>
        <w:numPr>
          <w:ilvl w:val="0"/>
          <w:numId w:val="12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Sequências e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subsequencias</w:t>
      </w:r>
      <w:proofErr w:type="spellEnd"/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LT,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Capítulo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 12 (Connected spaces)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Motivação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Conexidade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Conexidade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por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caminhos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Comparação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das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definições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Conexidade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e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homeomorfismos</w:t>
      </w:r>
      <w:proofErr w:type="spellEnd"/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CS, Material suplementar ao capítulo 12 (S12), tópicos: 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Componentes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LT,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Capítulo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 13 (Compact spaces)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Motivação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Definição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de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compacidade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Propriedades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de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espaços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compactos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Funções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contínuas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em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espaços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compactos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Compacidade de subespaços e espaços produto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Subconjuntos compactos do espaço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Euclideano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Compacidade e convergência uniforme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Um teorema do tipo função inversa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CS, Material suplementar ao capítulo 12 (S12), tópicos: 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>Compacidade local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LT,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Capítulo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 14 (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Sequencial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 compactness)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Espaços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métricos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sequencialmente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compactos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.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LT, </w:t>
      </w:r>
      <w:proofErr w:type="spellStart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>Capítulo</w:t>
      </w:r>
      <w:proofErr w:type="spellEnd"/>
      <w:r w:rsidRPr="00AA55F8">
        <w:rPr>
          <w:rFonts w:ascii="Arial" w:hAnsi="Arial" w:cs="Arial"/>
          <w:b/>
          <w:snapToGrid w:val="0"/>
          <w:color w:val="000000"/>
          <w:sz w:val="24"/>
          <w:szCs w:val="24"/>
          <w:lang w:val="en-US"/>
        </w:rPr>
        <w:t xml:space="preserve"> 15 (Quotient spaces and surfaces)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Motivação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Uma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abordagem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formal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A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topologia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quociente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Principais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propriedades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da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topologia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quociente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O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círculo</w:t>
      </w:r>
      <w:proofErr w:type="spellEnd"/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O torus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O plano projetivo real e a garrafa de Klein</w:t>
      </w:r>
    </w:p>
    <w:p w:rsidR="00462D0F" w:rsidRPr="00AA55F8" w:rsidRDefault="00462D0F" w:rsidP="00462D0F">
      <w:pPr>
        <w:numPr>
          <w:ilvl w:val="0"/>
          <w:numId w:val="11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Cortando e colando</w:t>
      </w:r>
    </w:p>
    <w:p w:rsidR="00462D0F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62D0F" w:rsidRPr="00AA55F8" w:rsidRDefault="00462D0F" w:rsidP="00462D0F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>CS, Material suplementar C1, tópicos:</w:t>
      </w:r>
    </w:p>
    <w:p w:rsidR="00462D0F" w:rsidRPr="00AA55F8" w:rsidRDefault="00462D0F" w:rsidP="00462D0F">
      <w:pPr>
        <w:numPr>
          <w:ilvl w:val="0"/>
          <w:numId w:val="3"/>
        </w:numPr>
        <w:suppressAutoHyphens w:val="0"/>
        <w:ind w:left="0" w:firstLine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Um critério geral para compacidade de espaços métricos</w:t>
      </w:r>
    </w:p>
    <w:p w:rsidR="00462D0F" w:rsidRPr="00AA55F8" w:rsidRDefault="00462D0F" w:rsidP="00462D0F">
      <w:pPr>
        <w:numPr>
          <w:ilvl w:val="0"/>
          <w:numId w:val="3"/>
        </w:numPr>
        <w:suppressAutoHyphens w:val="0"/>
        <w:ind w:left="0" w:firstLine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O teorema de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</w:rPr>
        <w:t>Arzelá-Ascoli</w:t>
      </w:r>
      <w:proofErr w:type="spellEnd"/>
    </w:p>
    <w:p w:rsidR="00462D0F" w:rsidRDefault="00462D0F" w:rsidP="00462D0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62D0F" w:rsidRPr="006E5F93" w:rsidRDefault="00462D0F" w:rsidP="00462D0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E5F93">
        <w:rPr>
          <w:rFonts w:ascii="Arial" w:hAnsi="Arial" w:cs="Arial"/>
          <w:b/>
          <w:i/>
          <w:sz w:val="24"/>
          <w:szCs w:val="24"/>
        </w:rPr>
        <w:t>BIBLIOGRAFIA:</w:t>
      </w:r>
    </w:p>
    <w:p w:rsidR="00462D0F" w:rsidRPr="006E5F93" w:rsidRDefault="00462D0F" w:rsidP="00462D0F">
      <w:pPr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 w:rsidRPr="006E5F93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Livro texto:</w:t>
      </w:r>
    </w:p>
    <w:p w:rsidR="00462D0F" w:rsidRPr="00AA55F8" w:rsidRDefault="00462D0F" w:rsidP="00462D0F">
      <w:pPr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Wilson A. Sutherland, </w:t>
      </w:r>
      <w:r w:rsidRPr="00AA55F8">
        <w:rPr>
          <w:rFonts w:ascii="Arial" w:hAnsi="Arial" w:cs="Arial"/>
          <w:i/>
          <w:snapToGrid w:val="0"/>
          <w:color w:val="000000"/>
          <w:sz w:val="24"/>
          <w:szCs w:val="24"/>
          <w:lang w:val="en-US"/>
        </w:rPr>
        <w:t>Introduction to Metric &amp; Topological Spaces</w:t>
      </w: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, 2</w:t>
      </w:r>
      <w:r w:rsidRPr="00AA55F8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/>
        </w:rPr>
        <w:t>nd</w:t>
      </w: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edition, </w:t>
      </w:r>
      <w:smartTag w:uri="urn:schemas-microsoft-com:office:smarttags" w:element="place">
        <w:smartTag w:uri="urn:schemas-microsoft-com:office:smarttags" w:element="City">
          <w:r w:rsidRPr="00AA55F8">
            <w:rPr>
              <w:rFonts w:ascii="Arial" w:hAnsi="Arial" w:cs="Arial"/>
              <w:snapToGrid w:val="0"/>
              <w:color w:val="000000"/>
              <w:sz w:val="24"/>
              <w:szCs w:val="24"/>
              <w:lang w:val="en-US"/>
            </w:rPr>
            <w:t>Oxford</w:t>
          </w:r>
        </w:smartTag>
      </w:smartTag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, 2009. </w:t>
      </w:r>
    </w:p>
    <w:p w:rsidR="00462D0F" w:rsidRPr="00AA55F8" w:rsidRDefault="00462D0F" w:rsidP="00462D0F">
      <w:pPr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AA55F8">
        <w:rPr>
          <w:rFonts w:ascii="Arial" w:hAnsi="Arial" w:cs="Arial"/>
          <w:color w:val="000000"/>
          <w:sz w:val="24"/>
          <w:szCs w:val="24"/>
          <w:lang w:val="de-DE"/>
        </w:rPr>
        <w:t xml:space="preserve">John L. Kelley, </w:t>
      </w:r>
      <w:r w:rsidRPr="00AA55F8">
        <w:rPr>
          <w:rFonts w:ascii="Arial" w:hAnsi="Arial" w:cs="Arial"/>
          <w:sz w:val="24"/>
          <w:szCs w:val="24"/>
          <w:lang w:val="en-US"/>
        </w:rPr>
        <w:t xml:space="preserve">“General Topology”, Van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Nostrand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 Reinhold, 1970.</w:t>
      </w:r>
    </w:p>
    <w:p w:rsidR="00462D0F" w:rsidRPr="006E5F93" w:rsidRDefault="00462D0F" w:rsidP="00462D0F">
      <w:pPr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  <w:lang w:val="de-DE"/>
        </w:rPr>
      </w:pPr>
      <w:r w:rsidRPr="006E5F93">
        <w:rPr>
          <w:rFonts w:ascii="Arial" w:hAnsi="Arial" w:cs="Arial"/>
          <w:b/>
          <w:i/>
          <w:snapToGrid w:val="0"/>
          <w:color w:val="000000"/>
          <w:sz w:val="24"/>
          <w:szCs w:val="24"/>
          <w:lang w:val="de-DE"/>
        </w:rPr>
        <w:t xml:space="preserve">Bibliografia complementar: </w:t>
      </w:r>
    </w:p>
    <w:p w:rsidR="00462D0F" w:rsidRPr="00AA55F8" w:rsidRDefault="00462D0F" w:rsidP="00462D0F">
      <w:pPr>
        <w:numPr>
          <w:ilvl w:val="0"/>
          <w:numId w:val="13"/>
        </w:numPr>
        <w:suppressAutoHyphens w:val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AA55F8">
        <w:rPr>
          <w:rFonts w:ascii="Arial" w:hAnsi="Arial" w:cs="Arial"/>
          <w:color w:val="000000"/>
          <w:sz w:val="24"/>
          <w:szCs w:val="24"/>
          <w:lang w:val="de-DE"/>
        </w:rPr>
        <w:t>Nicolas Bourbaki,“General Topology“, Addison-Wesley Publishing Company. 1966.</w:t>
      </w:r>
    </w:p>
    <w:p w:rsidR="00462D0F" w:rsidRPr="00AA55F8" w:rsidRDefault="00462D0F" w:rsidP="00462D0F">
      <w:pPr>
        <w:numPr>
          <w:ilvl w:val="0"/>
          <w:numId w:val="13"/>
        </w:numPr>
        <w:suppressAutoHyphens w:val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AA55F8">
        <w:rPr>
          <w:rFonts w:ascii="Arial" w:hAnsi="Arial" w:cs="Arial"/>
          <w:color w:val="000000"/>
          <w:sz w:val="24"/>
          <w:szCs w:val="24"/>
          <w:lang w:val="de-DE"/>
        </w:rPr>
        <w:t>James Dugundji,“Topology“, Allyn and Bacon, Inc, 1966.</w:t>
      </w:r>
    </w:p>
    <w:p w:rsidR="00462D0F" w:rsidRPr="00AA55F8" w:rsidRDefault="00462D0F" w:rsidP="00462D0F">
      <w:pPr>
        <w:numPr>
          <w:ilvl w:val="0"/>
          <w:numId w:val="13"/>
        </w:numPr>
        <w:suppressAutoHyphens w:val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en-US"/>
        </w:rPr>
        <w:t xml:space="preserve">K.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Jänich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>, S. Levy, “Topology”, Springer, 1984.</w:t>
      </w:r>
    </w:p>
    <w:p w:rsidR="00462D0F" w:rsidRPr="00AA55F8" w:rsidRDefault="00462D0F" w:rsidP="00462D0F">
      <w:pPr>
        <w:numPr>
          <w:ilvl w:val="0"/>
          <w:numId w:val="13"/>
        </w:numPr>
        <w:suppressAutoHyphens w:val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Elon L. Lima, "Elementos de Topologia Geral", Textos Universitários, SBM, 2010.</w:t>
      </w:r>
    </w:p>
    <w:p w:rsidR="00462D0F" w:rsidRPr="00AA55F8" w:rsidRDefault="00462D0F" w:rsidP="00462D0F">
      <w:pPr>
        <w:numPr>
          <w:ilvl w:val="0"/>
          <w:numId w:val="13"/>
        </w:numPr>
        <w:suppressAutoHyphens w:val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en-US"/>
        </w:rPr>
        <w:t xml:space="preserve">Bert </w:t>
      </w:r>
      <w:proofErr w:type="spellStart"/>
      <w:proofErr w:type="gramStart"/>
      <w:r w:rsidRPr="00AA55F8">
        <w:rPr>
          <w:rFonts w:ascii="Arial" w:hAnsi="Arial" w:cs="Arial"/>
          <w:sz w:val="24"/>
          <w:szCs w:val="24"/>
          <w:lang w:val="en-US"/>
        </w:rPr>
        <w:t>Mendelson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Pr="00AA55F8">
        <w:rPr>
          <w:rFonts w:ascii="Arial" w:hAnsi="Arial" w:cs="Arial"/>
          <w:sz w:val="24"/>
          <w:szCs w:val="24"/>
          <w:lang w:val="en-US"/>
        </w:rPr>
        <w:t xml:space="preserve"> “Introduction to Topology”, 3rd Edition, </w:t>
      </w:r>
      <w:smartTag w:uri="urn:schemas-microsoft-com:office:smarttags" w:element="place">
        <w:smartTag w:uri="urn:schemas-microsoft-com:office:smarttags" w:element="City">
          <w:r w:rsidRPr="00AA55F8">
            <w:rPr>
              <w:rFonts w:ascii="Arial" w:hAnsi="Arial" w:cs="Arial"/>
              <w:sz w:val="24"/>
              <w:szCs w:val="24"/>
              <w:lang w:val="en-US"/>
            </w:rPr>
            <w:t>Dover</w:t>
          </w:r>
        </w:smartTag>
      </w:smartTag>
      <w:r w:rsidRPr="00AA55F8">
        <w:rPr>
          <w:rFonts w:ascii="Arial" w:hAnsi="Arial" w:cs="Arial"/>
          <w:sz w:val="24"/>
          <w:szCs w:val="24"/>
          <w:lang w:val="en-US"/>
        </w:rPr>
        <w:t xml:space="preserve"> Publications, 1990.</w:t>
      </w:r>
    </w:p>
    <w:p w:rsidR="00462D0F" w:rsidRPr="00AA55F8" w:rsidRDefault="00462D0F" w:rsidP="00462D0F">
      <w:pPr>
        <w:numPr>
          <w:ilvl w:val="0"/>
          <w:numId w:val="13"/>
        </w:numPr>
        <w:suppressAutoHyphens w:val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en-US"/>
        </w:rPr>
        <w:t xml:space="preserve">James R.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Munkres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>, “Topology”, 2</w:t>
      </w:r>
      <w:r w:rsidRPr="00AA55F8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AA55F8">
        <w:rPr>
          <w:rFonts w:ascii="Arial" w:hAnsi="Arial" w:cs="Arial"/>
          <w:sz w:val="24"/>
          <w:szCs w:val="24"/>
          <w:lang w:val="en-US"/>
        </w:rPr>
        <w:t xml:space="preserve"> edition, </w:t>
      </w:r>
      <w:r w:rsidRPr="00AA55F8">
        <w:rPr>
          <w:rFonts w:ascii="Arial" w:hAnsi="Arial" w:cs="Arial"/>
          <w:color w:val="000000"/>
          <w:sz w:val="24"/>
          <w:szCs w:val="24"/>
          <w:lang w:val="en-US"/>
        </w:rPr>
        <w:t>Prentice Hall, 2000.</w:t>
      </w:r>
    </w:p>
    <w:p w:rsidR="00462D0F" w:rsidRPr="00AA55F8" w:rsidRDefault="00462D0F" w:rsidP="00462D0F">
      <w:pPr>
        <w:numPr>
          <w:ilvl w:val="0"/>
          <w:numId w:val="13"/>
        </w:numPr>
        <w:suppressAutoHyphens w:val="0"/>
        <w:ind w:left="0" w:firstLine="0"/>
        <w:jc w:val="both"/>
        <w:rPr>
          <w:rFonts w:ascii="Arial" w:hAnsi="Arial" w:cs="Arial"/>
          <w:sz w:val="24"/>
          <w:szCs w:val="24"/>
          <w:lang w:val="de-DE"/>
        </w:rPr>
      </w:pPr>
      <w:hyperlink r:id="rId7" w:history="1">
        <w:r w:rsidRPr="00AA55F8">
          <w:rPr>
            <w:rStyle w:val="Hyperlink"/>
            <w:rFonts w:ascii="Arial" w:hAnsi="Arial" w:cs="Arial"/>
            <w:sz w:val="24"/>
            <w:szCs w:val="24"/>
            <w:lang w:val="en-US"/>
          </w:rPr>
          <w:t>George F. Simmons</w:t>
        </w:r>
      </w:hyperlink>
      <w:r w:rsidRPr="00AA55F8">
        <w:rPr>
          <w:rFonts w:ascii="Arial" w:hAnsi="Arial" w:cs="Arial"/>
          <w:sz w:val="24"/>
          <w:szCs w:val="24"/>
          <w:lang w:val="en-US"/>
        </w:rPr>
        <w:t xml:space="preserve">, “Introduction to Topology and Modern Analysis”, McGraw-Hill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Inc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>, 2003.</w:t>
      </w:r>
    </w:p>
    <w:p w:rsidR="00462D0F" w:rsidRPr="00AA55F8" w:rsidRDefault="00462D0F" w:rsidP="00462D0F">
      <w:pPr>
        <w:numPr>
          <w:ilvl w:val="0"/>
          <w:numId w:val="13"/>
        </w:numPr>
        <w:suppressAutoHyphens w:val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en-US"/>
        </w:rPr>
        <w:t xml:space="preserve">S. Willard, "General Topology", </w:t>
      </w:r>
      <w:smartTag w:uri="urn:schemas-microsoft-com:office:smarttags" w:element="place">
        <w:smartTag w:uri="urn:schemas-microsoft-com:office:smarttags" w:element="City">
          <w:r w:rsidRPr="00AA55F8">
            <w:rPr>
              <w:rFonts w:ascii="Arial" w:hAnsi="Arial" w:cs="Arial"/>
              <w:sz w:val="24"/>
              <w:szCs w:val="24"/>
              <w:lang w:val="en-US"/>
            </w:rPr>
            <w:t>Dover</w:t>
          </w:r>
        </w:smartTag>
      </w:smartTag>
      <w:r w:rsidRPr="00AA55F8">
        <w:rPr>
          <w:rFonts w:ascii="Arial" w:hAnsi="Arial" w:cs="Arial"/>
          <w:sz w:val="24"/>
          <w:szCs w:val="24"/>
          <w:lang w:val="en-US"/>
        </w:rPr>
        <w:t xml:space="preserve"> Publications, 2004.</w:t>
      </w:r>
    </w:p>
    <w:p w:rsidR="00462D0F" w:rsidRPr="00AA55F8" w:rsidRDefault="00462D0F" w:rsidP="00462D0F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4440A6" w:rsidRPr="00462D0F" w:rsidRDefault="00462D0F">
      <w:pPr>
        <w:rPr>
          <w:lang w:val="de-DE"/>
        </w:rPr>
      </w:pPr>
      <w:bookmarkStart w:id="0" w:name="_GoBack"/>
      <w:bookmarkEnd w:id="0"/>
    </w:p>
    <w:sectPr w:rsidR="004440A6" w:rsidRPr="00462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1B7"/>
    <w:multiLevelType w:val="hybridMultilevel"/>
    <w:tmpl w:val="D2D00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A3AAD"/>
    <w:multiLevelType w:val="hybridMultilevel"/>
    <w:tmpl w:val="800E3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35ABC"/>
    <w:multiLevelType w:val="hybridMultilevel"/>
    <w:tmpl w:val="6B089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53CAD"/>
    <w:multiLevelType w:val="hybridMultilevel"/>
    <w:tmpl w:val="E2EC2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41E72"/>
    <w:multiLevelType w:val="hybridMultilevel"/>
    <w:tmpl w:val="11C2A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E576E"/>
    <w:multiLevelType w:val="hybridMultilevel"/>
    <w:tmpl w:val="DF50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94C14"/>
    <w:multiLevelType w:val="hybridMultilevel"/>
    <w:tmpl w:val="EFD2F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9260B"/>
    <w:multiLevelType w:val="hybridMultilevel"/>
    <w:tmpl w:val="5630F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A437D"/>
    <w:multiLevelType w:val="hybridMultilevel"/>
    <w:tmpl w:val="CEA89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51D19"/>
    <w:multiLevelType w:val="hybridMultilevel"/>
    <w:tmpl w:val="4A447C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7D6468"/>
    <w:multiLevelType w:val="hybridMultilevel"/>
    <w:tmpl w:val="EA4C2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127DB"/>
    <w:multiLevelType w:val="hybridMultilevel"/>
    <w:tmpl w:val="5718A794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F63F7"/>
    <w:multiLevelType w:val="hybridMultilevel"/>
    <w:tmpl w:val="AE06C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01BA4"/>
    <w:multiLevelType w:val="hybridMultilevel"/>
    <w:tmpl w:val="8B12D2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0F"/>
    <w:rsid w:val="00462D0F"/>
    <w:rsid w:val="00D5178A"/>
    <w:rsid w:val="00D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62D0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rsid w:val="00462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62D0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rsid w:val="0046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s/ref=ntt_athr_dp_sr_1?_encoding=UTF8&amp;sort=relevancerank&amp;search-alias=books&amp;field-author=George%20F.%20Simm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/uk/companion/metr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2017-09-19T15:27:00Z</dcterms:created>
  <dcterms:modified xsi:type="dcterms:W3CDTF">2017-09-19T15:27:00Z</dcterms:modified>
</cp:coreProperties>
</file>